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6C" w:rsidRPr="006815DD" w:rsidRDefault="003E526C" w:rsidP="006815DD">
      <w:pPr>
        <w:spacing w:line="252" w:lineRule="auto"/>
        <w:rPr>
          <w:b/>
          <w:sz w:val="21"/>
          <w:szCs w:val="21"/>
        </w:rPr>
      </w:pPr>
    </w:p>
    <w:p w:rsidR="007722FC" w:rsidRPr="00355898" w:rsidRDefault="00B624A6" w:rsidP="006815DD">
      <w:pPr>
        <w:spacing w:line="252" w:lineRule="auto"/>
        <w:rPr>
          <w:rFonts w:cstheme="minorHAnsi"/>
          <w:sz w:val="24"/>
          <w:szCs w:val="21"/>
        </w:rPr>
      </w:pPr>
      <w:r w:rsidRPr="00355898">
        <w:rPr>
          <w:b/>
          <w:sz w:val="24"/>
          <w:szCs w:val="21"/>
        </w:rPr>
        <w:t>Seenotrettung</w:t>
      </w:r>
      <w:r w:rsidR="00BB70B8" w:rsidRPr="00355898">
        <w:rPr>
          <w:b/>
          <w:sz w:val="24"/>
          <w:szCs w:val="21"/>
        </w:rPr>
        <w:t xml:space="preserve"> </w:t>
      </w:r>
      <w:r w:rsidR="00574D50" w:rsidRPr="00355898">
        <w:rPr>
          <w:rFonts w:cstheme="minorHAnsi"/>
          <w:b/>
          <w:sz w:val="24"/>
          <w:szCs w:val="21"/>
        </w:rPr>
        <w:t xml:space="preserve">- </w:t>
      </w:r>
      <w:r w:rsidR="00BB70B8" w:rsidRPr="00355898">
        <w:rPr>
          <w:rFonts w:cstheme="minorHAnsi"/>
          <w:b/>
          <w:sz w:val="24"/>
          <w:szCs w:val="21"/>
        </w:rPr>
        <w:t>Erläuterung zur Postkarte an den Ausschuss für Menschenrechte</w:t>
      </w:r>
      <w:r w:rsidR="00BB70B8" w:rsidRPr="00355898">
        <w:rPr>
          <w:rFonts w:cstheme="minorHAnsi"/>
          <w:sz w:val="24"/>
          <w:szCs w:val="21"/>
        </w:rPr>
        <w:t xml:space="preserve"> </w:t>
      </w:r>
      <w:r w:rsidR="00574D50" w:rsidRPr="00355898">
        <w:rPr>
          <w:rStyle w:val="Funotenzeichen"/>
          <w:rFonts w:cstheme="minorHAnsi"/>
          <w:sz w:val="24"/>
          <w:szCs w:val="21"/>
        </w:rPr>
        <w:footnoteReference w:id="1"/>
      </w:r>
    </w:p>
    <w:p w:rsidR="006C2D9A" w:rsidRPr="006815DD" w:rsidRDefault="00BB70B8" w:rsidP="006815DD">
      <w:pPr>
        <w:spacing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>Laut UNHCR-Studie ertrank 2018 jeder</w:t>
      </w:r>
      <w:r w:rsidR="004F1F5E" w:rsidRPr="006815DD">
        <w:rPr>
          <w:rFonts w:cstheme="minorHAnsi"/>
          <w:sz w:val="21"/>
          <w:szCs w:val="21"/>
        </w:rPr>
        <w:t xml:space="preserve"> </w:t>
      </w:r>
      <w:r w:rsidR="00466D87" w:rsidRPr="006815DD">
        <w:rPr>
          <w:rFonts w:cstheme="minorHAnsi"/>
          <w:sz w:val="21"/>
          <w:szCs w:val="21"/>
        </w:rPr>
        <w:t xml:space="preserve">15. </w:t>
      </w:r>
      <w:r w:rsidR="004F1F5E" w:rsidRPr="006815DD">
        <w:rPr>
          <w:rFonts w:cstheme="minorHAnsi"/>
          <w:sz w:val="21"/>
          <w:szCs w:val="21"/>
        </w:rPr>
        <w:t xml:space="preserve">Mensch </w:t>
      </w:r>
      <w:r w:rsidR="005A6E25" w:rsidRPr="006815DD">
        <w:rPr>
          <w:rFonts w:cstheme="minorHAnsi"/>
          <w:sz w:val="21"/>
          <w:szCs w:val="21"/>
        </w:rPr>
        <w:t xml:space="preserve">auf der Flucht </w:t>
      </w:r>
      <w:r w:rsidR="004F1F5E" w:rsidRPr="006815DD">
        <w:rPr>
          <w:rFonts w:cstheme="minorHAnsi"/>
          <w:sz w:val="21"/>
          <w:szCs w:val="21"/>
        </w:rPr>
        <w:t xml:space="preserve">im Mittelmeer zwischen Libyen und </w:t>
      </w:r>
      <w:r w:rsidR="00D44B6B" w:rsidRPr="006815DD">
        <w:rPr>
          <w:rFonts w:cstheme="minorHAnsi"/>
          <w:sz w:val="21"/>
          <w:szCs w:val="21"/>
        </w:rPr>
        <w:t>Europa</w:t>
      </w:r>
      <w:r w:rsidRPr="006815DD">
        <w:rPr>
          <w:rFonts w:cstheme="minorHAnsi"/>
          <w:sz w:val="21"/>
          <w:szCs w:val="21"/>
        </w:rPr>
        <w:t xml:space="preserve"> </w:t>
      </w:r>
      <w:r w:rsidRPr="006815DD">
        <w:rPr>
          <w:rStyle w:val="Funotenzeichen"/>
          <w:rFonts w:cstheme="minorHAnsi"/>
          <w:sz w:val="21"/>
          <w:szCs w:val="21"/>
        </w:rPr>
        <w:footnoteReference w:id="2"/>
      </w:r>
      <w:r w:rsidR="004F1F5E" w:rsidRPr="006815DD">
        <w:rPr>
          <w:rFonts w:cstheme="minorHAnsi"/>
          <w:sz w:val="21"/>
          <w:szCs w:val="21"/>
        </w:rPr>
        <w:t>.</w:t>
      </w:r>
      <w:r w:rsidR="006C2D9A" w:rsidRPr="006815DD">
        <w:rPr>
          <w:rFonts w:cstheme="minorHAnsi"/>
          <w:sz w:val="21"/>
          <w:szCs w:val="21"/>
        </w:rPr>
        <w:t xml:space="preserve"> Damit ist das Mittelmeer die tödlichste Grenze der Welt.</w:t>
      </w:r>
    </w:p>
    <w:p w:rsidR="004F1F5E" w:rsidRPr="006815DD" w:rsidRDefault="004F1F5E" w:rsidP="006815DD">
      <w:pPr>
        <w:pStyle w:val="Listenabsatz"/>
        <w:numPr>
          <w:ilvl w:val="0"/>
          <w:numId w:val="1"/>
        </w:numPr>
        <w:spacing w:after="0" w:line="252" w:lineRule="auto"/>
        <w:rPr>
          <w:rFonts w:cstheme="minorHAnsi"/>
          <w:b/>
          <w:sz w:val="21"/>
          <w:szCs w:val="21"/>
        </w:rPr>
      </w:pPr>
      <w:r w:rsidRPr="006815DD">
        <w:rPr>
          <w:rFonts w:cstheme="minorHAnsi"/>
          <w:b/>
          <w:sz w:val="21"/>
          <w:szCs w:val="21"/>
        </w:rPr>
        <w:t>Gründe für Seenotrettung:</w:t>
      </w:r>
    </w:p>
    <w:p w:rsidR="004F1F5E" w:rsidRPr="006815DD" w:rsidRDefault="004F1F5E" w:rsidP="006815DD">
      <w:pPr>
        <w:spacing w:after="0"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>Seenotrettung ist ausdrücklich im internationalen Seerecht geregelt. Jeder Kapitän ist verpflichtet, Personen in Seenot so schnell wie möglich zur Hilfe zu eilen</w:t>
      </w:r>
      <w:r w:rsidR="00942B42" w:rsidRPr="006815DD">
        <w:rPr>
          <w:rFonts w:cstheme="minorHAnsi"/>
          <w:sz w:val="21"/>
          <w:szCs w:val="21"/>
        </w:rPr>
        <w:t xml:space="preserve"> und sie in Sicherheit zu bringen. Das gilt für staatliche, wirtschaftliche und private Schifffahrt.</w:t>
      </w:r>
      <w:r w:rsidR="00610C17" w:rsidRPr="006815DD">
        <w:rPr>
          <w:rFonts w:cstheme="minorHAnsi"/>
          <w:sz w:val="21"/>
          <w:szCs w:val="21"/>
        </w:rPr>
        <w:t xml:space="preserve"> </w:t>
      </w:r>
      <w:r w:rsidR="002D3207" w:rsidRPr="006815DD">
        <w:rPr>
          <w:rStyle w:val="Funotenzeichen"/>
          <w:rFonts w:cstheme="minorHAnsi"/>
          <w:sz w:val="21"/>
          <w:szCs w:val="21"/>
        </w:rPr>
        <w:footnoteReference w:id="3"/>
      </w:r>
    </w:p>
    <w:p w:rsidR="00C76CBC" w:rsidRPr="006815DD" w:rsidRDefault="00C76CBC" w:rsidP="006815DD">
      <w:pPr>
        <w:pStyle w:val="Listenabsatz"/>
        <w:spacing w:after="0" w:line="252" w:lineRule="auto"/>
        <w:ind w:left="357"/>
        <w:rPr>
          <w:rFonts w:cstheme="minorHAnsi"/>
          <w:b/>
          <w:sz w:val="21"/>
          <w:szCs w:val="21"/>
        </w:rPr>
      </w:pPr>
    </w:p>
    <w:p w:rsidR="00942B42" w:rsidRPr="006815DD" w:rsidRDefault="00942B42" w:rsidP="006815DD">
      <w:pPr>
        <w:pStyle w:val="Listenabsatz"/>
        <w:numPr>
          <w:ilvl w:val="0"/>
          <w:numId w:val="1"/>
        </w:numPr>
        <w:spacing w:after="0" w:line="252" w:lineRule="auto"/>
        <w:ind w:left="357"/>
        <w:rPr>
          <w:rFonts w:cstheme="minorHAnsi"/>
          <w:b/>
          <w:sz w:val="21"/>
          <w:szCs w:val="21"/>
        </w:rPr>
      </w:pPr>
      <w:r w:rsidRPr="006815DD">
        <w:rPr>
          <w:rFonts w:cstheme="minorHAnsi"/>
          <w:b/>
          <w:sz w:val="21"/>
          <w:szCs w:val="21"/>
        </w:rPr>
        <w:t>Rückschiebungen auf See (Push-Backs)</w:t>
      </w:r>
      <w:r w:rsidR="001C1895" w:rsidRPr="006815DD">
        <w:rPr>
          <w:rFonts w:cstheme="minorHAnsi"/>
          <w:b/>
          <w:sz w:val="21"/>
          <w:szCs w:val="21"/>
        </w:rPr>
        <w:t>, Übergabe der Seenotrettung an die libysche Küstenwache</w:t>
      </w:r>
    </w:p>
    <w:p w:rsidR="00942B42" w:rsidRPr="006815DD" w:rsidRDefault="00942B42" w:rsidP="006815DD">
      <w:pPr>
        <w:spacing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 xml:space="preserve">Eine Rückführung z.B. nach Libyen bzw. eine Übergabe der Geretteten an die libysche Küstenwache bedeutet für </w:t>
      </w:r>
      <w:r w:rsidR="003E526C" w:rsidRPr="006815DD">
        <w:rPr>
          <w:rFonts w:cstheme="minorHAnsi"/>
          <w:sz w:val="21"/>
          <w:szCs w:val="21"/>
        </w:rPr>
        <w:t>diese</w:t>
      </w:r>
      <w:r w:rsidRPr="006815DD">
        <w:rPr>
          <w:rFonts w:cstheme="minorHAnsi"/>
          <w:sz w:val="21"/>
          <w:szCs w:val="21"/>
        </w:rPr>
        <w:t xml:space="preserve"> keine Sicherheit, wie es das Seerechtsübereinkommen der Vereinten Nationen fordert. Denn sie sind dort erneut großen </w:t>
      </w:r>
      <w:r w:rsidR="001C1895" w:rsidRPr="006815DD">
        <w:rPr>
          <w:rFonts w:cstheme="minorHAnsi"/>
          <w:sz w:val="21"/>
          <w:szCs w:val="21"/>
        </w:rPr>
        <w:t>G</w:t>
      </w:r>
      <w:r w:rsidRPr="006815DD">
        <w:rPr>
          <w:rFonts w:cstheme="minorHAnsi"/>
          <w:sz w:val="21"/>
          <w:szCs w:val="21"/>
        </w:rPr>
        <w:t>efahren und Menschenrechtsverletzungen</w:t>
      </w:r>
      <w:r w:rsidR="001C1895" w:rsidRPr="006815DD">
        <w:rPr>
          <w:rFonts w:cstheme="minorHAnsi"/>
          <w:sz w:val="21"/>
          <w:szCs w:val="21"/>
        </w:rPr>
        <w:t xml:space="preserve"> wie Folter, Vergewaltigung, Sklavenarbeit</w:t>
      </w:r>
      <w:r w:rsidRPr="006815DD">
        <w:rPr>
          <w:rFonts w:cstheme="minorHAnsi"/>
          <w:sz w:val="21"/>
          <w:szCs w:val="21"/>
        </w:rPr>
        <w:t xml:space="preserve"> ausgesetzt. Libyen ist kein sicheres Aufnahmeland</w:t>
      </w:r>
      <w:r w:rsidR="001C1895" w:rsidRPr="006815DD">
        <w:rPr>
          <w:rFonts w:cstheme="minorHAnsi"/>
          <w:sz w:val="21"/>
          <w:szCs w:val="21"/>
        </w:rPr>
        <w:t>.</w:t>
      </w:r>
    </w:p>
    <w:p w:rsidR="005A6E25" w:rsidRPr="006815DD" w:rsidRDefault="00AC4E7D" w:rsidP="006815DD">
      <w:pPr>
        <w:spacing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>Trotzdem möchte d</w:t>
      </w:r>
      <w:r w:rsidR="005A6E25" w:rsidRPr="006815DD">
        <w:rPr>
          <w:rFonts w:cstheme="minorHAnsi"/>
          <w:sz w:val="21"/>
          <w:szCs w:val="21"/>
        </w:rPr>
        <w:t>ie EU die</w:t>
      </w:r>
      <w:r w:rsidRPr="006815DD">
        <w:rPr>
          <w:rFonts w:cstheme="minorHAnsi"/>
          <w:sz w:val="21"/>
          <w:szCs w:val="21"/>
        </w:rPr>
        <w:t xml:space="preserve"> Seenotr</w:t>
      </w:r>
      <w:r w:rsidR="005A6E25" w:rsidRPr="006815DD">
        <w:rPr>
          <w:rFonts w:cstheme="minorHAnsi"/>
          <w:sz w:val="21"/>
          <w:szCs w:val="21"/>
        </w:rPr>
        <w:t xml:space="preserve">ettung auf dem Mittelmeer einstellen und sie der libyschen Küstenwache übertragen. Diese wird dafür mit Geld und </w:t>
      </w:r>
      <w:r w:rsidRPr="006815DD">
        <w:rPr>
          <w:rFonts w:cstheme="minorHAnsi"/>
          <w:sz w:val="21"/>
          <w:szCs w:val="21"/>
        </w:rPr>
        <w:t>M</w:t>
      </w:r>
      <w:r w:rsidR="005A6E25" w:rsidRPr="006815DD">
        <w:rPr>
          <w:rFonts w:cstheme="minorHAnsi"/>
          <w:sz w:val="21"/>
          <w:szCs w:val="21"/>
        </w:rPr>
        <w:t xml:space="preserve">aterial ausgerüstet. </w:t>
      </w:r>
      <w:r w:rsidRPr="006815DD">
        <w:rPr>
          <w:rFonts w:cstheme="minorHAnsi"/>
          <w:sz w:val="21"/>
          <w:szCs w:val="21"/>
        </w:rPr>
        <w:t>Der Wissenschaftliche Dienst des Bundestags weist in einem Gutachten darauf hin, dass Libyen diese Aufgabe nicht ordnungsgemäß und rechtskonform ausführen kann.</w:t>
      </w:r>
      <w:r w:rsidR="002D3207" w:rsidRPr="006815DD">
        <w:rPr>
          <w:rStyle w:val="Funotenzeichen"/>
          <w:rFonts w:cstheme="minorHAnsi"/>
          <w:sz w:val="21"/>
          <w:szCs w:val="21"/>
        </w:rPr>
        <w:footnoteReference w:id="4"/>
      </w:r>
    </w:p>
    <w:p w:rsidR="006815DD" w:rsidRDefault="001C1895" w:rsidP="006815DD">
      <w:pPr>
        <w:pStyle w:val="Listenabsatz"/>
        <w:numPr>
          <w:ilvl w:val="0"/>
          <w:numId w:val="1"/>
        </w:numPr>
        <w:spacing w:line="252" w:lineRule="auto"/>
        <w:rPr>
          <w:rFonts w:cstheme="minorHAnsi"/>
          <w:b/>
          <w:sz w:val="21"/>
          <w:szCs w:val="21"/>
        </w:rPr>
      </w:pPr>
      <w:r w:rsidRPr="006815DD">
        <w:rPr>
          <w:rFonts w:cstheme="minorHAnsi"/>
          <w:b/>
          <w:sz w:val="21"/>
          <w:szCs w:val="21"/>
        </w:rPr>
        <w:t>Seenotrettung als Fluchtanreiz?</w:t>
      </w:r>
      <w:r w:rsidR="00C76CBC" w:rsidRPr="006815DD">
        <w:rPr>
          <w:rFonts w:cstheme="minorHAnsi"/>
          <w:b/>
          <w:sz w:val="21"/>
          <w:szCs w:val="21"/>
        </w:rPr>
        <w:t xml:space="preserve"> Unterstützung der </w:t>
      </w:r>
      <w:r w:rsidR="00DB3024" w:rsidRPr="006815DD">
        <w:rPr>
          <w:rFonts w:cstheme="minorHAnsi"/>
          <w:b/>
          <w:sz w:val="21"/>
          <w:szCs w:val="21"/>
        </w:rPr>
        <w:t>S</w:t>
      </w:r>
      <w:r w:rsidR="00C76CBC" w:rsidRPr="006815DD">
        <w:rPr>
          <w:rFonts w:cstheme="minorHAnsi"/>
          <w:b/>
          <w:sz w:val="21"/>
          <w:szCs w:val="21"/>
        </w:rPr>
        <w:t>chlepper durch NGOs?</w:t>
      </w:r>
    </w:p>
    <w:p w:rsidR="001C1895" w:rsidRPr="006815DD" w:rsidRDefault="001C1895" w:rsidP="006815DD">
      <w:pPr>
        <w:spacing w:line="252" w:lineRule="auto"/>
        <w:rPr>
          <w:rFonts w:cstheme="minorHAnsi"/>
          <w:b/>
          <w:sz w:val="21"/>
          <w:szCs w:val="21"/>
        </w:rPr>
      </w:pPr>
      <w:r w:rsidRPr="006815DD">
        <w:rPr>
          <w:rFonts w:cstheme="minorHAnsi"/>
          <w:sz w:val="21"/>
          <w:szCs w:val="21"/>
        </w:rPr>
        <w:t xml:space="preserve">Die Flüchtenden sind meist schon Monate und Jahre unterwegs. Die Überfahrt über das Mittelmeer ist der letzte Abschnitt auf ihrer </w:t>
      </w:r>
      <w:r w:rsidR="005A6E25" w:rsidRPr="006815DD">
        <w:rPr>
          <w:rFonts w:cstheme="minorHAnsi"/>
          <w:sz w:val="21"/>
          <w:szCs w:val="21"/>
        </w:rPr>
        <w:t xml:space="preserve">meist </w:t>
      </w:r>
      <w:r w:rsidRPr="006815DD">
        <w:rPr>
          <w:rFonts w:cstheme="minorHAnsi"/>
          <w:sz w:val="21"/>
          <w:szCs w:val="21"/>
        </w:rPr>
        <w:t xml:space="preserve">beschwerlichen </w:t>
      </w:r>
      <w:r w:rsidR="001A1678" w:rsidRPr="006815DD">
        <w:rPr>
          <w:rFonts w:cstheme="minorHAnsi"/>
          <w:sz w:val="21"/>
          <w:szCs w:val="21"/>
        </w:rPr>
        <w:t xml:space="preserve">gefährlichen </w:t>
      </w:r>
      <w:r w:rsidRPr="006815DD">
        <w:rPr>
          <w:rFonts w:cstheme="minorHAnsi"/>
          <w:sz w:val="21"/>
          <w:szCs w:val="21"/>
        </w:rPr>
        <w:t>Flucht</w:t>
      </w:r>
      <w:r w:rsidR="001A1678" w:rsidRPr="006815DD">
        <w:rPr>
          <w:rFonts w:cstheme="minorHAnsi"/>
          <w:sz w:val="21"/>
          <w:szCs w:val="21"/>
        </w:rPr>
        <w:t xml:space="preserve"> </w:t>
      </w:r>
      <w:r w:rsidR="00CA0398" w:rsidRPr="006815DD">
        <w:rPr>
          <w:rFonts w:cstheme="minorHAnsi"/>
          <w:sz w:val="21"/>
          <w:szCs w:val="21"/>
        </w:rPr>
        <w:t>durch Transitländer mit ausgedehnten Wüstengebieten. Die Flüchtlinge sind längst nicht mehr in ihrer Heimat und können auch nicht einfach zurückkehren. Die Fahrt über das Mittelmeer ist der einzige verbleibende Weg.</w:t>
      </w:r>
    </w:p>
    <w:p w:rsidR="00C76CBC" w:rsidRPr="006815DD" w:rsidRDefault="00AC4E7D" w:rsidP="006815DD">
      <w:pPr>
        <w:spacing w:after="0"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 xml:space="preserve">Eine Studie des Goldsmith College der University </w:t>
      </w:r>
      <w:proofErr w:type="spellStart"/>
      <w:r w:rsidRPr="006815DD">
        <w:rPr>
          <w:rFonts w:cstheme="minorHAnsi"/>
          <w:sz w:val="21"/>
          <w:szCs w:val="21"/>
        </w:rPr>
        <w:t>of</w:t>
      </w:r>
      <w:proofErr w:type="spellEnd"/>
      <w:r w:rsidRPr="006815DD">
        <w:rPr>
          <w:rFonts w:cstheme="minorHAnsi"/>
          <w:sz w:val="21"/>
          <w:szCs w:val="21"/>
        </w:rPr>
        <w:t xml:space="preserve"> London kommt zu dem Schluss, dass der quantita</w:t>
      </w:r>
      <w:r w:rsidR="00DB3024" w:rsidRPr="006815DD">
        <w:rPr>
          <w:rFonts w:cstheme="minorHAnsi"/>
          <w:sz w:val="21"/>
          <w:szCs w:val="21"/>
        </w:rPr>
        <w:t>t</w:t>
      </w:r>
      <w:r w:rsidRPr="006815DD">
        <w:rPr>
          <w:rFonts w:cstheme="minorHAnsi"/>
          <w:sz w:val="21"/>
          <w:szCs w:val="21"/>
        </w:rPr>
        <w:t>i</w:t>
      </w:r>
      <w:r w:rsidR="00DB3024" w:rsidRPr="006815DD">
        <w:rPr>
          <w:rFonts w:cstheme="minorHAnsi"/>
          <w:sz w:val="21"/>
          <w:szCs w:val="21"/>
        </w:rPr>
        <w:t>v</w:t>
      </w:r>
      <w:r w:rsidRPr="006815DD">
        <w:rPr>
          <w:rFonts w:cstheme="minorHAnsi"/>
          <w:sz w:val="21"/>
          <w:szCs w:val="21"/>
        </w:rPr>
        <w:t>e Anstieg von Überfahrten unabhängig von der Präsenz von Rettungsschiffen erfolgte.</w:t>
      </w:r>
      <w:r w:rsidR="002D3207" w:rsidRPr="006815DD">
        <w:rPr>
          <w:rStyle w:val="Funotenzeichen"/>
          <w:rFonts w:cstheme="minorHAnsi"/>
          <w:sz w:val="21"/>
          <w:szCs w:val="21"/>
        </w:rPr>
        <w:footnoteReference w:id="5"/>
      </w:r>
      <w:r w:rsidR="006815DD">
        <w:rPr>
          <w:rFonts w:cstheme="minorHAnsi"/>
          <w:sz w:val="21"/>
          <w:szCs w:val="21"/>
        </w:rPr>
        <w:t xml:space="preserve"> </w:t>
      </w:r>
      <w:r w:rsidR="00DB3024" w:rsidRPr="006815DD">
        <w:rPr>
          <w:rFonts w:cstheme="minorHAnsi"/>
          <w:sz w:val="21"/>
          <w:szCs w:val="21"/>
        </w:rPr>
        <w:t xml:space="preserve">Trotz anderslautender Vorwürfe </w:t>
      </w:r>
      <w:r w:rsidR="00C76CBC" w:rsidRPr="006815DD">
        <w:rPr>
          <w:rFonts w:cstheme="minorHAnsi"/>
          <w:sz w:val="21"/>
          <w:szCs w:val="21"/>
        </w:rPr>
        <w:t xml:space="preserve">gibt </w:t>
      </w:r>
      <w:r w:rsidR="00DB3024" w:rsidRPr="006815DD">
        <w:rPr>
          <w:rFonts w:cstheme="minorHAnsi"/>
          <w:sz w:val="21"/>
          <w:szCs w:val="21"/>
        </w:rPr>
        <w:t xml:space="preserve">es </w:t>
      </w:r>
      <w:r w:rsidR="00C76CBC" w:rsidRPr="006815DD">
        <w:rPr>
          <w:rFonts w:cstheme="minorHAnsi"/>
          <w:sz w:val="21"/>
          <w:szCs w:val="21"/>
        </w:rPr>
        <w:t>keine Hinweise auf illegale Kooperation von Schleppern mit NGOs</w:t>
      </w:r>
      <w:r w:rsidR="00DB3024" w:rsidRPr="006815DD">
        <w:rPr>
          <w:rFonts w:cstheme="minorHAnsi"/>
          <w:sz w:val="21"/>
          <w:szCs w:val="21"/>
        </w:rPr>
        <w:t>.</w:t>
      </w:r>
      <w:r w:rsidR="00F0238C" w:rsidRPr="006815DD">
        <w:rPr>
          <w:rStyle w:val="Funotenzeichen"/>
          <w:rFonts w:cstheme="minorHAnsi"/>
          <w:sz w:val="21"/>
          <w:szCs w:val="21"/>
        </w:rPr>
        <w:footnoteReference w:id="6"/>
      </w:r>
      <w:r w:rsidR="00F0238C" w:rsidRPr="006815DD">
        <w:rPr>
          <w:rFonts w:cstheme="minorHAnsi"/>
          <w:sz w:val="21"/>
          <w:szCs w:val="21"/>
        </w:rPr>
        <w:t xml:space="preserve"> Die Schlepper können an einer Zusammenarbeit auch gar kein Interesse haben, denn sie würden damit riskieren, entdeckt zu werden.</w:t>
      </w:r>
    </w:p>
    <w:p w:rsidR="00C76CBC" w:rsidRPr="006815DD" w:rsidRDefault="00C76CBC" w:rsidP="006815DD">
      <w:pPr>
        <w:pStyle w:val="Listenabsatz"/>
        <w:spacing w:after="0" w:line="252" w:lineRule="auto"/>
        <w:ind w:left="360"/>
        <w:rPr>
          <w:rFonts w:cstheme="minorHAnsi"/>
          <w:sz w:val="21"/>
          <w:szCs w:val="21"/>
        </w:rPr>
      </w:pPr>
    </w:p>
    <w:p w:rsidR="002D3207" w:rsidRPr="006815DD" w:rsidRDefault="002D3207" w:rsidP="006815DD">
      <w:pPr>
        <w:spacing w:after="0" w:line="252" w:lineRule="auto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 xml:space="preserve">Staatliche und internationale Missionen im Mittelmeer wurden eingestellt. Zum Schluss waren sie eher auf Grenzsicherung und Schlepperbekämpfung ausgerichtet, als auf Rettung von Menschenleben. Zivile Rettungsaktionen werden zunehmend behindert und kriminalisiert. </w:t>
      </w:r>
      <w:r w:rsidR="00A078AD" w:rsidRPr="006815DD">
        <w:rPr>
          <w:rFonts w:cstheme="minorHAnsi"/>
          <w:sz w:val="21"/>
          <w:szCs w:val="21"/>
        </w:rPr>
        <w:t xml:space="preserve">Italienische und maltesische Häfen sind für </w:t>
      </w:r>
      <w:r w:rsidR="004D2773" w:rsidRPr="006815DD">
        <w:rPr>
          <w:rFonts w:cstheme="minorHAnsi"/>
          <w:sz w:val="21"/>
          <w:szCs w:val="21"/>
        </w:rPr>
        <w:t>Rettungss</w:t>
      </w:r>
      <w:r w:rsidR="00A078AD" w:rsidRPr="006815DD">
        <w:rPr>
          <w:rFonts w:cstheme="minorHAnsi"/>
          <w:sz w:val="21"/>
          <w:szCs w:val="21"/>
        </w:rPr>
        <w:t xml:space="preserve">chiffe von NGOs gesperrt. </w:t>
      </w:r>
    </w:p>
    <w:p w:rsidR="00C76CBC" w:rsidRPr="006815DD" w:rsidRDefault="00C76CBC" w:rsidP="006815DD">
      <w:pPr>
        <w:spacing w:after="0" w:line="252" w:lineRule="auto"/>
        <w:rPr>
          <w:rFonts w:cstheme="minorHAnsi"/>
          <w:sz w:val="21"/>
          <w:szCs w:val="21"/>
        </w:rPr>
      </w:pPr>
    </w:p>
    <w:p w:rsidR="00CE20B8" w:rsidRPr="006815DD" w:rsidRDefault="00BB70B8" w:rsidP="006815DD">
      <w:pPr>
        <w:pStyle w:val="Listenabsatz"/>
        <w:spacing w:after="0" w:line="252" w:lineRule="auto"/>
        <w:ind w:left="0"/>
        <w:rPr>
          <w:rFonts w:cstheme="minorHAnsi"/>
          <w:sz w:val="21"/>
          <w:szCs w:val="21"/>
        </w:rPr>
      </w:pPr>
      <w:r w:rsidRPr="006815DD">
        <w:rPr>
          <w:rFonts w:cstheme="minorHAnsi"/>
          <w:sz w:val="21"/>
          <w:szCs w:val="21"/>
        </w:rPr>
        <w:t>Neben Caritas und Diakonie fordern ü</w:t>
      </w:r>
      <w:r w:rsidR="00D44B6B" w:rsidRPr="006815DD">
        <w:rPr>
          <w:rFonts w:cstheme="minorHAnsi"/>
          <w:sz w:val="21"/>
          <w:szCs w:val="21"/>
        </w:rPr>
        <w:t>ber 250 Organisationen, darunter PRO ASYL, Ärzte ohne Grenzen</w:t>
      </w:r>
      <w:r w:rsidRPr="006815DD">
        <w:rPr>
          <w:rFonts w:cstheme="minorHAnsi"/>
          <w:sz w:val="21"/>
          <w:szCs w:val="21"/>
        </w:rPr>
        <w:t xml:space="preserve"> und </w:t>
      </w:r>
      <w:r w:rsidR="00D44B6B" w:rsidRPr="006815DD">
        <w:rPr>
          <w:rFonts w:cstheme="minorHAnsi"/>
          <w:sz w:val="21"/>
          <w:szCs w:val="21"/>
        </w:rPr>
        <w:t>Amnesty International</w:t>
      </w:r>
      <w:r w:rsidR="000B2D27" w:rsidRPr="006815DD">
        <w:rPr>
          <w:rFonts w:cstheme="minorHAnsi"/>
          <w:sz w:val="21"/>
          <w:szCs w:val="21"/>
        </w:rPr>
        <w:t xml:space="preserve"> </w:t>
      </w:r>
      <w:r w:rsidR="00D44B6B" w:rsidRPr="006815DD">
        <w:rPr>
          <w:rFonts w:cstheme="minorHAnsi"/>
          <w:sz w:val="21"/>
          <w:szCs w:val="21"/>
        </w:rPr>
        <w:t>in einem Offenen Brief an die Bundeskanzlerin</w:t>
      </w:r>
      <w:r w:rsidR="00CE20B8" w:rsidRPr="006815DD">
        <w:rPr>
          <w:rFonts w:cstheme="minorHAnsi"/>
          <w:sz w:val="21"/>
          <w:szCs w:val="21"/>
        </w:rPr>
        <w:t xml:space="preserve"> </w:t>
      </w:r>
      <w:r w:rsidR="00CE20B8" w:rsidRPr="006815DD">
        <w:rPr>
          <w:rStyle w:val="Funotenzeichen"/>
          <w:rFonts w:cstheme="minorHAnsi"/>
          <w:sz w:val="21"/>
          <w:szCs w:val="21"/>
        </w:rPr>
        <w:footnoteReference w:id="7"/>
      </w:r>
      <w:r w:rsidR="00CE20B8" w:rsidRPr="006815DD">
        <w:rPr>
          <w:rFonts w:cstheme="minorHAnsi"/>
          <w:sz w:val="21"/>
          <w:szCs w:val="21"/>
        </w:rPr>
        <w:t>:</w:t>
      </w:r>
    </w:p>
    <w:p w:rsidR="00574D50" w:rsidRPr="006815DD" w:rsidRDefault="00574D50" w:rsidP="006815DD">
      <w:pPr>
        <w:pStyle w:val="Listenabsatz"/>
        <w:spacing w:after="0" w:line="252" w:lineRule="auto"/>
        <w:ind w:left="0"/>
        <w:rPr>
          <w:rFonts w:cstheme="minorHAnsi"/>
          <w:sz w:val="21"/>
          <w:szCs w:val="21"/>
        </w:rPr>
      </w:pPr>
    </w:p>
    <w:p w:rsidR="00CE20B8" w:rsidRPr="006815DD" w:rsidRDefault="00CE20B8" w:rsidP="006815DD">
      <w:pPr>
        <w:pStyle w:val="Listenabsatz"/>
        <w:numPr>
          <w:ilvl w:val="0"/>
          <w:numId w:val="3"/>
        </w:numPr>
        <w:spacing w:after="0" w:line="252" w:lineRule="auto"/>
        <w:rPr>
          <w:rFonts w:eastAsia="Times New Roman" w:cstheme="minorHAnsi"/>
          <w:b/>
          <w:sz w:val="21"/>
          <w:szCs w:val="21"/>
          <w:lang w:eastAsia="de-DE"/>
        </w:rPr>
      </w:pPr>
      <w:r w:rsidRPr="006815DD">
        <w:rPr>
          <w:rFonts w:eastAsia="Times New Roman" w:cstheme="minorHAnsi"/>
          <w:b/>
          <w:bCs/>
          <w:sz w:val="21"/>
          <w:szCs w:val="21"/>
          <w:lang w:eastAsia="de-DE"/>
        </w:rPr>
        <w:t>Notfallplan für Bootsflüchtlinge</w:t>
      </w:r>
      <w:r w:rsidRPr="006815DD">
        <w:rPr>
          <w:rFonts w:eastAsia="Times New Roman" w:cstheme="minorHAnsi"/>
          <w:b/>
          <w:sz w:val="21"/>
          <w:szCs w:val="21"/>
          <w:lang w:eastAsia="de-DE"/>
        </w:rPr>
        <w:t xml:space="preserve"> </w:t>
      </w:r>
    </w:p>
    <w:p w:rsidR="00CE20B8" w:rsidRPr="006815DD" w:rsidRDefault="00CE20B8" w:rsidP="006815DD">
      <w:pPr>
        <w:pStyle w:val="Listenabsatz"/>
        <w:numPr>
          <w:ilvl w:val="0"/>
          <w:numId w:val="3"/>
        </w:numPr>
        <w:spacing w:after="0" w:line="252" w:lineRule="auto"/>
        <w:rPr>
          <w:rFonts w:eastAsia="Times New Roman" w:cstheme="minorHAnsi"/>
          <w:b/>
          <w:sz w:val="21"/>
          <w:szCs w:val="21"/>
          <w:lang w:eastAsia="de-DE"/>
        </w:rPr>
      </w:pPr>
      <w:r w:rsidRPr="006815DD">
        <w:rPr>
          <w:rFonts w:eastAsia="Times New Roman" w:cstheme="minorHAnsi"/>
          <w:b/>
          <w:bCs/>
          <w:sz w:val="21"/>
          <w:szCs w:val="21"/>
          <w:lang w:eastAsia="de-DE"/>
        </w:rPr>
        <w:t>»Sichere Häfen« ermögliche</w:t>
      </w:r>
      <w:r w:rsidR="00C76CBC" w:rsidRPr="006815DD">
        <w:rPr>
          <w:rFonts w:eastAsia="Times New Roman" w:cstheme="minorHAnsi"/>
          <w:b/>
          <w:bCs/>
          <w:sz w:val="21"/>
          <w:szCs w:val="21"/>
          <w:lang w:eastAsia="de-DE"/>
        </w:rPr>
        <w:t>n</w:t>
      </w:r>
      <w:r w:rsidRPr="006815DD">
        <w:rPr>
          <w:rFonts w:eastAsia="Times New Roman" w:cstheme="minorHAnsi"/>
          <w:b/>
          <w:sz w:val="21"/>
          <w:szCs w:val="21"/>
          <w:lang w:eastAsia="de-DE"/>
        </w:rPr>
        <w:t xml:space="preserve"> </w:t>
      </w:r>
    </w:p>
    <w:p w:rsidR="00CE20B8" w:rsidRPr="006815DD" w:rsidRDefault="00CE20B8" w:rsidP="006815DD">
      <w:pPr>
        <w:pStyle w:val="Listenabsatz"/>
        <w:numPr>
          <w:ilvl w:val="0"/>
          <w:numId w:val="3"/>
        </w:numPr>
        <w:spacing w:after="0" w:line="252" w:lineRule="auto"/>
        <w:rPr>
          <w:rFonts w:eastAsia="Times New Roman" w:cstheme="minorHAnsi"/>
          <w:b/>
          <w:bCs/>
          <w:sz w:val="21"/>
          <w:szCs w:val="21"/>
          <w:lang w:eastAsia="de-DE"/>
        </w:rPr>
      </w:pPr>
      <w:r w:rsidRPr="006815DD">
        <w:rPr>
          <w:rFonts w:eastAsia="Times New Roman" w:cstheme="minorHAnsi"/>
          <w:b/>
          <w:bCs/>
          <w:sz w:val="21"/>
          <w:szCs w:val="21"/>
          <w:lang w:eastAsia="de-DE"/>
        </w:rPr>
        <w:t>Keine Rückführung nach Libyen</w:t>
      </w:r>
    </w:p>
    <w:sectPr w:rsidR="00CE20B8" w:rsidRPr="006815DD" w:rsidSect="000B2D27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BB" w:rsidRDefault="00FC3FBB" w:rsidP="002D3207">
      <w:pPr>
        <w:spacing w:after="0" w:line="240" w:lineRule="auto"/>
      </w:pPr>
      <w:r>
        <w:separator/>
      </w:r>
    </w:p>
  </w:endnote>
  <w:endnote w:type="continuationSeparator" w:id="0">
    <w:p w:rsidR="00FC3FBB" w:rsidRDefault="00FC3FBB" w:rsidP="002D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FF" w:rsidRDefault="006815DD">
    <w:pPr>
      <w:pStyle w:val="Fuzeile"/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4841240</wp:posOffset>
          </wp:positionH>
          <wp:positionV relativeFrom="margin">
            <wp:posOffset>9039225</wp:posOffset>
          </wp:positionV>
          <wp:extent cx="1089025" cy="32639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FS_Logo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AFF" w:rsidRPr="006C342B" w:rsidRDefault="00CB0AFF">
    <w:pPr>
      <w:pStyle w:val="Fuzeile"/>
      <w:rPr>
        <w:sz w:val="18"/>
        <w:szCs w:val="18"/>
      </w:rPr>
    </w:pPr>
    <w:proofErr w:type="spellStart"/>
    <w:r w:rsidRPr="006C342B">
      <w:rPr>
        <w:sz w:val="18"/>
        <w:szCs w:val="18"/>
      </w:rPr>
      <w:t>V.i.S.P</w:t>
    </w:r>
    <w:proofErr w:type="spellEnd"/>
    <w:r w:rsidRPr="006815DD">
      <w:rPr>
        <w:sz w:val="18"/>
        <w:szCs w:val="18"/>
      </w:rPr>
      <w:t xml:space="preserve">.: </w:t>
    </w:r>
    <w:r w:rsidR="006815DD" w:rsidRPr="006815DD">
      <w:rPr>
        <w:sz w:val="18"/>
        <w:szCs w:val="18"/>
      </w:rPr>
      <w:t>Ökumenische Fachstelle Asyl Ludwigsburg</w:t>
    </w:r>
    <w:r w:rsidR="006815DD">
      <w:rPr>
        <w:color w:val="C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BB" w:rsidRDefault="00FC3FBB" w:rsidP="002D3207">
      <w:pPr>
        <w:spacing w:after="0" w:line="240" w:lineRule="auto"/>
      </w:pPr>
      <w:r>
        <w:separator/>
      </w:r>
    </w:p>
  </w:footnote>
  <w:footnote w:type="continuationSeparator" w:id="0">
    <w:p w:rsidR="00FC3FBB" w:rsidRDefault="00FC3FBB" w:rsidP="002D3207">
      <w:pPr>
        <w:spacing w:after="0" w:line="240" w:lineRule="auto"/>
      </w:pPr>
      <w:r>
        <w:continuationSeparator/>
      </w:r>
    </w:p>
  </w:footnote>
  <w:footnote w:id="1">
    <w:p w:rsidR="00574D50" w:rsidRDefault="00574D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74D50">
        <w:rPr>
          <w:sz w:val="18"/>
          <w:szCs w:val="18"/>
        </w:rPr>
        <w:t>Weitere Postk</w:t>
      </w:r>
      <w:r w:rsidR="003E092D">
        <w:rPr>
          <w:sz w:val="18"/>
          <w:szCs w:val="18"/>
        </w:rPr>
        <w:t>arten können bestellt werden unter www.fachstelle-asyl.de</w:t>
      </w:r>
    </w:p>
  </w:footnote>
  <w:footnote w:id="2">
    <w:p w:rsidR="00BB70B8" w:rsidRPr="00574D50" w:rsidRDefault="00BB70B8">
      <w:pPr>
        <w:pStyle w:val="Funotentext"/>
        <w:rPr>
          <w:sz w:val="18"/>
          <w:szCs w:val="18"/>
        </w:rPr>
      </w:pPr>
      <w:r w:rsidRPr="00574D50">
        <w:rPr>
          <w:rStyle w:val="Funotenzeichen"/>
          <w:sz w:val="18"/>
          <w:szCs w:val="18"/>
        </w:rPr>
        <w:footnoteRef/>
      </w:r>
      <w:r w:rsidRPr="00574D50">
        <w:rPr>
          <w:sz w:val="18"/>
          <w:szCs w:val="18"/>
        </w:rPr>
        <w:t xml:space="preserve"> Pressemitteilung des UNHCR vom </w:t>
      </w:r>
      <w:r w:rsidR="009214D4">
        <w:rPr>
          <w:sz w:val="18"/>
          <w:szCs w:val="18"/>
        </w:rPr>
        <w:t>30</w:t>
      </w:r>
      <w:r w:rsidRPr="00574D50">
        <w:rPr>
          <w:sz w:val="18"/>
          <w:szCs w:val="18"/>
        </w:rPr>
        <w:t>.01.2019</w:t>
      </w:r>
      <w:bookmarkStart w:id="0" w:name="_GoBack"/>
      <w:bookmarkEnd w:id="0"/>
    </w:p>
  </w:footnote>
  <w:footnote w:id="3">
    <w:p w:rsidR="002D3207" w:rsidRPr="00574D50" w:rsidRDefault="002D3207" w:rsidP="002D3207">
      <w:pPr>
        <w:spacing w:after="0" w:line="240" w:lineRule="auto"/>
        <w:rPr>
          <w:sz w:val="18"/>
          <w:szCs w:val="18"/>
        </w:rPr>
      </w:pPr>
      <w:r w:rsidRPr="00574D50">
        <w:rPr>
          <w:rStyle w:val="Funotenzeichen"/>
          <w:sz w:val="18"/>
          <w:szCs w:val="18"/>
        </w:rPr>
        <w:footnoteRef/>
      </w:r>
      <w:r w:rsidRPr="00574D50">
        <w:rPr>
          <w:sz w:val="18"/>
          <w:szCs w:val="18"/>
        </w:rPr>
        <w:t xml:space="preserve">  Seerechtsübereinkommen der Vereinten Nationen, Artikel 98</w:t>
      </w:r>
    </w:p>
  </w:footnote>
  <w:footnote w:id="4">
    <w:p w:rsidR="002D3207" w:rsidRPr="006815DD" w:rsidRDefault="002D3207" w:rsidP="002D3207">
      <w:pPr>
        <w:pStyle w:val="Funotentext"/>
        <w:rPr>
          <w:sz w:val="18"/>
          <w:szCs w:val="18"/>
          <w:lang w:val="en-US"/>
        </w:rPr>
      </w:pPr>
      <w:r w:rsidRPr="00574D50">
        <w:rPr>
          <w:rStyle w:val="Funotenzeichen"/>
          <w:sz w:val="18"/>
          <w:szCs w:val="18"/>
        </w:rPr>
        <w:footnoteRef/>
      </w:r>
      <w:r w:rsidRPr="006815DD">
        <w:rPr>
          <w:sz w:val="18"/>
          <w:szCs w:val="18"/>
          <w:lang w:val="en-US"/>
        </w:rPr>
        <w:t xml:space="preserve"> WD 2 -3000/053/17</w:t>
      </w:r>
    </w:p>
  </w:footnote>
  <w:footnote w:id="5">
    <w:p w:rsidR="00F0238C" w:rsidRPr="006815DD" w:rsidRDefault="002D3207" w:rsidP="002D3207">
      <w:pPr>
        <w:spacing w:after="0"/>
        <w:rPr>
          <w:sz w:val="18"/>
          <w:szCs w:val="18"/>
          <w:lang w:val="en-US"/>
        </w:rPr>
      </w:pPr>
      <w:r w:rsidRPr="00574D50">
        <w:rPr>
          <w:rStyle w:val="Funotenzeichen"/>
          <w:sz w:val="18"/>
          <w:szCs w:val="18"/>
        </w:rPr>
        <w:footnoteRef/>
      </w:r>
      <w:r w:rsidRPr="006815DD">
        <w:rPr>
          <w:sz w:val="18"/>
          <w:szCs w:val="18"/>
          <w:lang w:val="en-US"/>
        </w:rPr>
        <w:t xml:space="preserve"> </w:t>
      </w:r>
      <w:hyperlink r:id="rId1" w:history="1">
        <w:r w:rsidR="00CE20B8" w:rsidRPr="006815DD">
          <w:rPr>
            <w:rStyle w:val="Hyperlink"/>
            <w:color w:val="auto"/>
            <w:sz w:val="18"/>
            <w:szCs w:val="18"/>
            <w:lang w:val="en-US"/>
          </w:rPr>
          <w:t>https://www.gold.ac.uk/news/blaming-the-rescuers/</w:t>
        </w:r>
      </w:hyperlink>
    </w:p>
  </w:footnote>
  <w:footnote w:id="6">
    <w:p w:rsidR="009214D4" w:rsidRPr="006815DD" w:rsidRDefault="00F0238C">
      <w:pPr>
        <w:pStyle w:val="Funotentext"/>
        <w:rPr>
          <w:sz w:val="18"/>
          <w:szCs w:val="18"/>
          <w:lang w:val="en-US"/>
        </w:rPr>
      </w:pPr>
      <w:r w:rsidRPr="009214D4">
        <w:rPr>
          <w:rStyle w:val="Funotenzeichen"/>
          <w:sz w:val="18"/>
          <w:szCs w:val="18"/>
        </w:rPr>
        <w:footnoteRef/>
      </w:r>
      <w:r w:rsidRPr="006815DD">
        <w:rPr>
          <w:sz w:val="18"/>
          <w:szCs w:val="18"/>
          <w:lang w:val="en-US"/>
        </w:rPr>
        <w:t xml:space="preserve"> </w:t>
      </w:r>
      <w:hyperlink r:id="rId2" w:history="1">
        <w:r w:rsidR="009214D4" w:rsidRPr="006815DD">
          <w:rPr>
            <w:rStyle w:val="Hyperlink"/>
            <w:color w:val="auto"/>
            <w:sz w:val="18"/>
            <w:szCs w:val="18"/>
            <w:lang w:val="en-US"/>
          </w:rPr>
          <w:t>https://frontex.europa.eu/assets/Publications/Risk_Analysis/Annual_Risk_Analysis_2017.pdf</w:t>
        </w:r>
      </w:hyperlink>
      <w:r w:rsidR="009214D4" w:rsidRPr="006815DD">
        <w:rPr>
          <w:sz w:val="18"/>
          <w:szCs w:val="18"/>
          <w:lang w:val="en-US"/>
        </w:rPr>
        <w:t xml:space="preserve"> </w:t>
      </w:r>
    </w:p>
  </w:footnote>
  <w:footnote w:id="7">
    <w:p w:rsidR="00D44B6B" w:rsidRPr="006815DD" w:rsidRDefault="00CE20B8" w:rsidP="00CE20B8">
      <w:pPr>
        <w:spacing w:after="0"/>
        <w:rPr>
          <w:sz w:val="18"/>
          <w:szCs w:val="18"/>
          <w:lang w:val="en-US"/>
        </w:rPr>
      </w:pPr>
      <w:r w:rsidRPr="00574D50">
        <w:rPr>
          <w:rStyle w:val="Funotenzeichen"/>
          <w:sz w:val="18"/>
          <w:szCs w:val="18"/>
        </w:rPr>
        <w:footnoteRef/>
      </w:r>
      <w:r w:rsidR="00F0238C" w:rsidRPr="006815DD">
        <w:rPr>
          <w:sz w:val="18"/>
          <w:szCs w:val="18"/>
          <w:lang w:val="en-US"/>
        </w:rPr>
        <w:t xml:space="preserve"> </w:t>
      </w:r>
      <w:hyperlink r:id="rId3" w:history="1">
        <w:r w:rsidR="00D44B6B" w:rsidRPr="006815DD">
          <w:rPr>
            <w:rStyle w:val="Hyperlink"/>
            <w:color w:val="auto"/>
            <w:sz w:val="18"/>
            <w:szCs w:val="18"/>
            <w:lang w:val="en-US"/>
          </w:rPr>
          <w:t>https://sea-watch.org/offener-brief-zur-seenotrettung-ueber-250-organisationen-fordern-merkel-zum-handeln-auf/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2B" w:rsidRDefault="006815DD">
    <w:pPr>
      <w:pStyle w:val="Kopfzeile"/>
    </w:pPr>
    <w:r>
      <w:rPr>
        <w:noProof/>
        <w:lang w:eastAsia="de-DE"/>
      </w:rPr>
      <w:drawing>
        <wp:inline distT="0" distB="0" distL="0" distR="0">
          <wp:extent cx="877257" cy="5048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77" cy="51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853"/>
    <w:multiLevelType w:val="hybridMultilevel"/>
    <w:tmpl w:val="7D802F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2071E"/>
    <w:multiLevelType w:val="hybridMultilevel"/>
    <w:tmpl w:val="16AE929E"/>
    <w:lvl w:ilvl="0" w:tplc="DA5A3B9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75114D92"/>
    <w:multiLevelType w:val="hybridMultilevel"/>
    <w:tmpl w:val="C0F4C4FC"/>
    <w:lvl w:ilvl="0" w:tplc="1682DADC">
      <w:start w:val="1"/>
      <w:numFmt w:val="decimal"/>
      <w:lvlText w:val="%1."/>
      <w:lvlJc w:val="left"/>
      <w:pPr>
        <w:ind w:left="672" w:hanging="360"/>
      </w:pPr>
      <w:rPr>
        <w:rFonts w:ascii="Arial" w:hAnsi="Arial" w:cs="Arial"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392" w:hanging="360"/>
      </w:pPr>
    </w:lvl>
    <w:lvl w:ilvl="2" w:tplc="0407001B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6"/>
    <w:rsid w:val="00047E18"/>
    <w:rsid w:val="000B2D27"/>
    <w:rsid w:val="001A1678"/>
    <w:rsid w:val="001C1895"/>
    <w:rsid w:val="002D3207"/>
    <w:rsid w:val="003307D9"/>
    <w:rsid w:val="00355898"/>
    <w:rsid w:val="003E092D"/>
    <w:rsid w:val="003E526C"/>
    <w:rsid w:val="00466D87"/>
    <w:rsid w:val="004D2773"/>
    <w:rsid w:val="004F1F5E"/>
    <w:rsid w:val="00574D50"/>
    <w:rsid w:val="005A6E25"/>
    <w:rsid w:val="00610C17"/>
    <w:rsid w:val="006744F6"/>
    <w:rsid w:val="006815DD"/>
    <w:rsid w:val="006A58A1"/>
    <w:rsid w:val="006C2D9A"/>
    <w:rsid w:val="006C342B"/>
    <w:rsid w:val="007722FC"/>
    <w:rsid w:val="009214D4"/>
    <w:rsid w:val="00942B42"/>
    <w:rsid w:val="00A078AD"/>
    <w:rsid w:val="00A1097F"/>
    <w:rsid w:val="00AC4E7D"/>
    <w:rsid w:val="00B624A6"/>
    <w:rsid w:val="00B80631"/>
    <w:rsid w:val="00BB70B8"/>
    <w:rsid w:val="00C76CBC"/>
    <w:rsid w:val="00CA0398"/>
    <w:rsid w:val="00CB0AFF"/>
    <w:rsid w:val="00CE20B8"/>
    <w:rsid w:val="00D427F3"/>
    <w:rsid w:val="00D44B6B"/>
    <w:rsid w:val="00DB3024"/>
    <w:rsid w:val="00E571F2"/>
    <w:rsid w:val="00F0238C"/>
    <w:rsid w:val="00F3248C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5AF8"/>
  <w15:chartTrackingRefBased/>
  <w15:docId w15:val="{992CDEC5-AFD9-4248-ABED-96D9146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F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D32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32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320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E20B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20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B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AFF"/>
  </w:style>
  <w:style w:type="paragraph" w:styleId="Fuzeile">
    <w:name w:val="footer"/>
    <w:basedOn w:val="Standard"/>
    <w:link w:val="FuzeileZchn"/>
    <w:uiPriority w:val="99"/>
    <w:unhideWhenUsed/>
    <w:rsid w:val="00CB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a-watch.org/offener-brief-zur-seenotrettung-ueber-250-organisationen-fordern-merkel-zum-handeln-auf/" TargetMode="External"/><Relationship Id="rId2" Type="http://schemas.openxmlformats.org/officeDocument/2006/relationships/hyperlink" Target="https://frontex.europa.eu/assets/Publications/Risk_Analysis/Annual_Risk_Analysis_2017.pdf" TargetMode="External"/><Relationship Id="rId1" Type="http://schemas.openxmlformats.org/officeDocument/2006/relationships/hyperlink" Target="https://www.gold.ac.uk/news/blaming-the-rescu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Bernecker</dc:creator>
  <cp:keywords/>
  <dc:description/>
  <cp:lastModifiedBy>Martin, Isabel</cp:lastModifiedBy>
  <cp:revision>15</cp:revision>
  <cp:lastPrinted>2019-05-01T19:09:00Z</cp:lastPrinted>
  <dcterms:created xsi:type="dcterms:W3CDTF">2019-04-27T19:46:00Z</dcterms:created>
  <dcterms:modified xsi:type="dcterms:W3CDTF">2019-05-10T11:50:00Z</dcterms:modified>
</cp:coreProperties>
</file>